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George Crockett Academy</w:t>
      </w:r>
    </w:p>
    <w:p w:rsidR="00000000" w:rsidDel="00000000" w:rsidP="00000000" w:rsidRDefault="00000000" w:rsidRPr="00000000" w14:paraId="00000002">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Virtual Learning PD Training</w:t>
      </w:r>
    </w:p>
    <w:p w:rsidR="00000000" w:rsidDel="00000000" w:rsidP="00000000" w:rsidRDefault="00000000" w:rsidRPr="00000000" w14:paraId="00000003">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In response to the State School Aid Act</w:t>
      </w:r>
    </w:p>
    <w:p w:rsidR="00000000" w:rsidDel="00000000" w:rsidP="00000000" w:rsidRDefault="00000000" w:rsidRPr="00000000" w14:paraId="00000004">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January 2021</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list below consists of the amount and type of training provided during the current school year as of the date of the report to teachers of the district through professional development that focuses on how to deliver virtual content.</w:t>
      </w:r>
    </w:p>
    <w:p w:rsidR="00000000" w:rsidDel="00000000" w:rsidP="00000000" w:rsidRDefault="00000000" w:rsidRPr="00000000" w14:paraId="00000007">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1355.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1170"/>
        <w:gridCol w:w="4365"/>
        <w:gridCol w:w="1920"/>
        <w:gridCol w:w="1455"/>
        <w:gridCol w:w="1440"/>
        <w:tblGridChange w:id="0">
          <w:tblGrid>
            <w:gridCol w:w="1005"/>
            <w:gridCol w:w="1170"/>
            <w:gridCol w:w="4365"/>
            <w:gridCol w:w="1920"/>
            <w:gridCol w:w="1455"/>
            <w:gridCol w:w="1440"/>
          </w:tblGrid>
        </w:tblGridChange>
      </w:tblGrid>
      <w:tr>
        <w:trPr>
          <w:trHeight w:val="440" w:hRule="atLeast"/>
        </w:trPr>
        <w:tc>
          <w:tcPr>
            <w:gridSpan w:val="6"/>
            <w:shd w:fill="d9d9d9" w:val="clear"/>
            <w:tcMar>
              <w:top w:w="100.0" w:type="dxa"/>
              <w:left w:w="100.0" w:type="dxa"/>
              <w:bottom w:w="100.0" w:type="dxa"/>
              <w:right w:w="100.0" w:type="dxa"/>
            </w:tcMar>
            <w:vAlign w:val="top"/>
          </w:tcPr>
          <w:p w:rsidR="00000000" w:rsidDel="00000000" w:rsidP="00000000" w:rsidRDefault="00000000" w:rsidRPr="00000000" w14:paraId="00000009">
            <w:pPr>
              <w:rPr>
                <w:b w:val="1"/>
                <w:sz w:val="20"/>
                <w:szCs w:val="20"/>
              </w:rPr>
            </w:pPr>
            <w:r w:rsidDel="00000000" w:rsidR="00000000" w:rsidRPr="00000000">
              <w:rPr>
                <w:rFonts w:ascii="Playfair Display" w:cs="Playfair Display" w:eastAsia="Playfair Display" w:hAnsi="Playfair Display"/>
                <w:b w:val="1"/>
                <w:rtl w:val="0"/>
              </w:rPr>
              <w:t xml:space="preserve">GCA 2020 - 2021 Professional Development</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Playfair Display" w:cs="Playfair Display" w:eastAsia="Playfair Display" w:hAnsi="Playfair Display"/>
                <w:b w:val="1"/>
                <w:sz w:val="18"/>
                <w:szCs w:val="18"/>
              </w:rPr>
            </w:pPr>
            <w:r w:rsidDel="00000000" w:rsidR="00000000" w:rsidRPr="00000000">
              <w:rPr>
                <w:rFonts w:ascii="Playfair Display" w:cs="Playfair Display" w:eastAsia="Playfair Display" w:hAnsi="Playfair Display"/>
                <w:b w:val="1"/>
                <w:sz w:val="18"/>
                <w:szCs w:val="18"/>
                <w:rtl w:val="0"/>
              </w:rPr>
              <w:t xml:space="preserve">DATE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rFonts w:ascii="Playfair Display" w:cs="Playfair Display" w:eastAsia="Playfair Display" w:hAnsi="Playfair Display"/>
                <w:b w:val="1"/>
                <w:sz w:val="18"/>
                <w:szCs w:val="18"/>
              </w:rPr>
            </w:pPr>
            <w:r w:rsidDel="00000000" w:rsidR="00000000" w:rsidRPr="00000000">
              <w:rPr>
                <w:rFonts w:ascii="Playfair Display" w:cs="Playfair Display" w:eastAsia="Playfair Display" w:hAnsi="Playfair Display"/>
                <w:b w:val="1"/>
                <w:sz w:val="14"/>
                <w:szCs w:val="14"/>
                <w:rtl w:val="0"/>
              </w:rPr>
              <w:t xml:space="preserve">REP Category</w:t>
              <w:br w:type="textWrapping"/>
            </w:r>
            <w:r w:rsidDel="00000000" w:rsidR="00000000" w:rsidRPr="00000000">
              <w:rPr>
                <w:rFonts w:ascii="Playfair Display" w:cs="Playfair Display" w:eastAsia="Playfair Display" w:hAnsi="Playfair Display"/>
                <w:b w:val="1"/>
                <w:sz w:val="10"/>
                <w:szCs w:val="10"/>
                <w:rtl w:val="0"/>
              </w:rPr>
              <w:t xml:space="preserve">#1 – Classroom Management</w:t>
              <w:br w:type="textWrapping"/>
              <w:t xml:space="preserve">#2 – Instructional Delivery</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sz w:val="18"/>
                <w:szCs w:val="18"/>
                <w:rtl w:val="0"/>
              </w:rPr>
              <w:t xml:space="preserve">TITLE/ACTIVITY</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sz w:val="18"/>
                <w:szCs w:val="18"/>
                <w:rtl w:val="0"/>
              </w:rPr>
              <w:t xml:space="preserve">PURPOSE/SKILL ADDRESSED</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sz w:val="18"/>
                <w:szCs w:val="18"/>
                <w:rtl w:val="0"/>
              </w:rPr>
              <w:t xml:space="preserve">NUMBER OF HOURS PROVIDED</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jc w:val="center"/>
              <w:rPr>
                <w:rFonts w:ascii="Playfair Display" w:cs="Playfair Display" w:eastAsia="Playfair Display" w:hAnsi="Playfair Display"/>
                <w:b w:val="1"/>
                <w:sz w:val="18"/>
                <w:szCs w:val="18"/>
              </w:rPr>
            </w:pPr>
            <w:r w:rsidDel="00000000" w:rsidR="00000000" w:rsidRPr="00000000">
              <w:rPr>
                <w:rFonts w:ascii="Playfair Display" w:cs="Playfair Display" w:eastAsia="Playfair Display" w:hAnsi="Playfair Display"/>
                <w:b w:val="1"/>
                <w:sz w:val="18"/>
                <w:szCs w:val="18"/>
                <w:rtl w:val="0"/>
              </w:rPr>
              <w:t xml:space="preserve">Who Attended</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8.24.20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GCA’s Covid-19 Preparedness and Response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Prepare staff for building an instructional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All Staff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8.27.20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Powerschool/attendance/grading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PowerSchool 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Instructional staff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8.27.20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MTSS/PBIS/Special Ed/Social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Department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Instructional staff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8.27.20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 &amp;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Mentor/Mentee Training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Over of mentor/mentee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Mentors/mentees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8.28.20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highlight w:val="white"/>
                <w:rtl w:val="0"/>
              </w:rPr>
              <w:t xml:space="preserve">NWEA Remote Testing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Review of remote testing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Instructional Staff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8.31.20 - 9.3.20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 &amp;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Curriculum/Instruction Training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Yearly expectations provided by instructional coach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Instructional staff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9.1.20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 &amp;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Virtual Check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Academic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All Staff</w:t>
            </w:r>
          </w:p>
        </w:tc>
      </w:tr>
      <w:tr>
        <w:trPr>
          <w:trHeight w:val="8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11.3.20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 &amp;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Virtual Learning Peer 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Highly effective instructional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All Staff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1.29.20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 &amp;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TLG- MWacademics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Best practices for educators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All Staff</w:t>
            </w:r>
          </w:p>
        </w:tc>
      </w:tr>
    </w:tbl>
    <w:p w:rsidR="00000000" w:rsidDel="00000000" w:rsidP="00000000" w:rsidRDefault="00000000" w:rsidRPr="00000000" w14:paraId="0000004B">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list below contains the amount and type of training provided during the school year to parents/legal guardians and to pupils on how to access and use virtual content provided by the district. </w:t>
      </w:r>
    </w:p>
    <w:p w:rsidR="00000000" w:rsidDel="00000000" w:rsidP="00000000" w:rsidRDefault="00000000" w:rsidRPr="00000000" w14:paraId="0000004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2"/>
        <w:tblW w:w="11220.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1170"/>
        <w:gridCol w:w="4365"/>
        <w:gridCol w:w="4680"/>
        <w:tblGridChange w:id="0">
          <w:tblGrid>
            <w:gridCol w:w="1005"/>
            <w:gridCol w:w="1170"/>
            <w:gridCol w:w="4365"/>
            <w:gridCol w:w="4680"/>
          </w:tblGrid>
        </w:tblGridChange>
      </w:tblGrid>
      <w:tr>
        <w:trPr>
          <w:trHeight w:val="440" w:hRule="atLeast"/>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50">
            <w:pPr>
              <w:rPr>
                <w:b w:val="1"/>
                <w:sz w:val="20"/>
                <w:szCs w:val="20"/>
              </w:rPr>
            </w:pPr>
            <w:r w:rsidDel="00000000" w:rsidR="00000000" w:rsidRPr="00000000">
              <w:rPr>
                <w:rFonts w:ascii="Playfair Display" w:cs="Playfair Display" w:eastAsia="Playfair Display" w:hAnsi="Playfair Display"/>
                <w:b w:val="1"/>
                <w:rtl w:val="0"/>
              </w:rPr>
              <w:t xml:space="preserve">GCA 2020 - 2021 Professional Development</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Playfair Display" w:cs="Playfair Display" w:eastAsia="Playfair Display" w:hAnsi="Playfair Display"/>
                <w:b w:val="1"/>
                <w:sz w:val="18"/>
                <w:szCs w:val="18"/>
              </w:rPr>
            </w:pPr>
            <w:r w:rsidDel="00000000" w:rsidR="00000000" w:rsidRPr="00000000">
              <w:rPr>
                <w:rFonts w:ascii="Playfair Display" w:cs="Playfair Display" w:eastAsia="Playfair Display" w:hAnsi="Playfair Display"/>
                <w:b w:val="1"/>
                <w:sz w:val="18"/>
                <w:szCs w:val="18"/>
                <w:rtl w:val="0"/>
              </w:rPr>
              <w:t xml:space="preserve">DATE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jc w:val="center"/>
              <w:rPr>
                <w:rFonts w:ascii="Playfair Display" w:cs="Playfair Display" w:eastAsia="Playfair Display" w:hAnsi="Playfair Display"/>
                <w:b w:val="1"/>
                <w:sz w:val="18"/>
                <w:szCs w:val="18"/>
              </w:rPr>
            </w:pPr>
            <w:r w:rsidDel="00000000" w:rsidR="00000000" w:rsidRPr="00000000">
              <w:rPr>
                <w:rFonts w:ascii="Playfair Display" w:cs="Playfair Display" w:eastAsia="Playfair Display" w:hAnsi="Playfair Display"/>
                <w:b w:val="1"/>
                <w:sz w:val="18"/>
                <w:szCs w:val="18"/>
                <w:rtl w:val="0"/>
              </w:rPr>
              <w:t xml:space="preserve">Parents</w:t>
            </w:r>
          </w:p>
          <w:p w:rsidR="00000000" w:rsidDel="00000000" w:rsidP="00000000" w:rsidRDefault="00000000" w:rsidRPr="00000000" w14:paraId="00000056">
            <w:pPr>
              <w:spacing w:line="240" w:lineRule="auto"/>
              <w:jc w:val="center"/>
              <w:rPr>
                <w:rFonts w:ascii="Playfair Display" w:cs="Playfair Display" w:eastAsia="Playfair Display" w:hAnsi="Playfair Display"/>
                <w:b w:val="1"/>
                <w:sz w:val="18"/>
                <w:szCs w:val="18"/>
              </w:rPr>
            </w:pPr>
            <w:r w:rsidDel="00000000" w:rsidR="00000000" w:rsidRPr="00000000">
              <w:rPr>
                <w:rFonts w:ascii="Playfair Display" w:cs="Playfair Display" w:eastAsia="Playfair Display" w:hAnsi="Playfair Display"/>
                <w:b w:val="1"/>
                <w:sz w:val="18"/>
                <w:szCs w:val="18"/>
                <w:rtl w:val="0"/>
              </w:rPr>
              <w:t xml:space="preserve">and/or </w:t>
            </w:r>
          </w:p>
          <w:p w:rsidR="00000000" w:rsidDel="00000000" w:rsidP="00000000" w:rsidRDefault="00000000" w:rsidRPr="00000000" w14:paraId="00000057">
            <w:pPr>
              <w:spacing w:line="240" w:lineRule="auto"/>
              <w:jc w:val="center"/>
              <w:rPr>
                <w:rFonts w:ascii="Playfair Display" w:cs="Playfair Display" w:eastAsia="Playfair Display" w:hAnsi="Playfair Display"/>
                <w:b w:val="1"/>
                <w:sz w:val="18"/>
                <w:szCs w:val="18"/>
              </w:rPr>
            </w:pPr>
            <w:r w:rsidDel="00000000" w:rsidR="00000000" w:rsidRPr="00000000">
              <w:rPr>
                <w:rFonts w:ascii="Playfair Display" w:cs="Playfair Display" w:eastAsia="Playfair Display" w:hAnsi="Playfair Display"/>
                <w:b w:val="1"/>
                <w:sz w:val="18"/>
                <w:szCs w:val="18"/>
                <w:rtl w:val="0"/>
              </w:rPr>
              <w:t xml:space="preserve">Students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sz w:val="18"/>
                <w:szCs w:val="18"/>
                <w:rtl w:val="0"/>
              </w:rPr>
              <w:t xml:space="preserve">TITLE/ACTIVITY</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sz w:val="18"/>
                <w:szCs w:val="18"/>
                <w:rtl w:val="0"/>
              </w:rPr>
              <w:t xml:space="preserve">PURPOSE/SKILL ADDRESSED</w:t>
            </w: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8.12.20, 8.13.20, 8.17.20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Hybrid vs Virtual Learning sign-up/information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Informing parents of the meaning of each instructional plan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9.3.20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 Orientation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Updated parents of the changes of the school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9.8.20 - 9.18.20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Parents and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to access google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Staff, Technical and office staff support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9.8.20 - 9.18.20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Parents and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NWEA Testing - How to take the test at home?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Teaching staff instructed parents and students of virtual testing procedures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9.23.20-9.24.20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Parents and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Meet the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Parents were informed how this school year will be conducted.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10.15.20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Parents and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Q1 Parent 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Student progress, virtual support and expectations. How to access grades on PowerSchool?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12.17.20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Parents and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Q2 Parent 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Student progress, virtual support and expectations. How to access grades on PowerSchool?</w:t>
            </w:r>
          </w:p>
        </w:tc>
      </w:tr>
    </w:tbl>
    <w:p w:rsidR="00000000" w:rsidDel="00000000" w:rsidP="00000000" w:rsidRDefault="00000000" w:rsidRPr="00000000" w14:paraId="00000076">
      <w:pPr>
        <w:rPr/>
      </w:pPr>
      <w:r w:rsidDel="00000000" w:rsidR="00000000" w:rsidRPr="00000000">
        <w:rPr>
          <w:rtl w:val="0"/>
        </w:rPr>
      </w:r>
    </w:p>
    <w:sectPr>
      <w:pgSz w:h="15840" w:w="12240" w:orient="portrait"/>
      <w:pgMar w:bottom="1440" w:top="431.999999999999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